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storo" w:cs="Castoro" w:eastAsia="Castoro" w:hAnsi="Castoro"/>
          <w:b w:val="1"/>
          <w:bCs w:val="1"/>
          <w:sz w:val="24"/>
          <w:szCs w:val="24"/>
        </w:rPr>
      </w:pPr>
      <w:r w:rsidDel="00000000" w:rsidR="00000000" w:rsidRPr="00000000">
        <w:rPr>
          <w:rFonts w:ascii="Castoro" w:cs="Castoro" w:eastAsia="Castoro" w:hAnsi="Castoro"/>
          <w:b w:val="1"/>
          <w:bCs w:val="1"/>
          <w:sz w:val="24"/>
          <w:szCs w:val="24"/>
          <w:rtl w:val="0"/>
        </w:rPr>
        <w:t xml:space="preserve">List of Improvements to </w:t>
      </w:r>
      <w:r w:rsidDel="00000000" w:rsidR="00000000" w:rsidRPr="00000000">
        <w:rPr>
          <w:rFonts w:ascii="Castoro" w:cs="Castoro" w:eastAsia="Castoro" w:hAnsi="Castoro"/>
          <w:b w:val="1"/>
          <w:bCs w:val="1"/>
          <w:sz w:val="24"/>
          <w:szCs w:val="24"/>
          <w:highlight w:val="white"/>
          <w:rtl w:val="0"/>
        </w:rPr>
        <w:t xml:space="preserve">the 1899 Edition of </w:t>
      </w:r>
      <w:r w:rsidDel="00000000" w:rsidR="00000000" w:rsidRPr="00000000">
        <w:rPr>
          <w:rFonts w:ascii="Castoro" w:cs="Castoro" w:eastAsia="Castoro" w:hAnsi="Castoro"/>
          <w:b w:val="1"/>
          <w:bCs w:val="1"/>
          <w:sz w:val="24"/>
          <w:szCs w:val="24"/>
          <w:rtl w:val="0"/>
        </w:rPr>
        <w:t xml:space="preserve">Bhāskara Bhaṭṭa’s </w:t>
      </w:r>
      <w:r w:rsidDel="00000000" w:rsidR="00000000" w:rsidRPr="00000000">
        <w:rPr>
          <w:rFonts w:ascii="Castoro" w:cs="Castoro" w:eastAsia="Castoro" w:hAnsi="Castoro"/>
          <w:b w:val="1"/>
          <w:bCs w:val="1"/>
          <w:i w:val="1"/>
          <w:iCs w:val="1"/>
          <w:sz w:val="24"/>
          <w:szCs w:val="24"/>
          <w:rtl w:val="0"/>
        </w:rPr>
        <w:t xml:space="preserve">Unmattarāghava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</w:rPr>
      </w:pPr>
      <w:r w:rsidDel="00000000" w:rsidR="00000000" w:rsidRPr="00000000">
        <w:rPr>
          <w:rFonts w:ascii="Castoro" w:cs="Castoro" w:eastAsia="Castoro" w:hAnsi="Castoro"/>
          <w:b w:val="1"/>
          <w:bCs w:val="1"/>
          <w:sz w:val="24"/>
          <w:szCs w:val="24"/>
          <w:rtl w:val="0"/>
        </w:rPr>
        <w:t xml:space="preserve">Based on </w:t>
      </w:r>
      <w:hyperlink r:id="rId7">
        <w:r w:rsidDel="00000000" w:rsidR="00000000" w:rsidRPr="00000000">
          <w:rPr>
            <w:rFonts w:ascii="Castoro" w:cs="Castoro" w:eastAsia="Castoro" w:hAnsi="Castoro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SUB Hamburg Cod. Palmbl. I 81 (35.3081)</w:t>
        </w:r>
      </w:hyperlink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</w:rPr>
      </w:pP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[Last updated by T. Richard on July 16th, 2026]</w:t>
      </w:r>
    </w:p>
    <w:p w:rsidR="00000000" w:rsidDel="00000000" w:rsidP="00000000" w:rsidRDefault="00000000" w:rsidRPr="00000000" w14:paraId="00000005">
      <w:pPr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In Verse 8, the Hamburg manuscript reads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anuyāntaṃ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 (“who follows”), which improves upon the original reading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upayāntaṃ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(“who approaches”).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On Page 11, Lines 23-24, the Hamburg manuscript reads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sañjalpati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(“speaking”),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 resolving the corrupted reading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sājvalati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(“burning”) that the editors of the Kāvyamāla edition were doubtful about.</w:t>
      </w:r>
    </w:p>
    <w:p w:rsidR="00000000" w:rsidDel="00000000" w:rsidP="00000000" w:rsidRDefault="00000000" w:rsidRPr="00000000" w14:paraId="00000009">
      <w:pPr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On Page 12, Line 1 as well as on Page 13, Line 19, the Hamburg manuscript includes the stage direction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svagatam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 (“aside”), which follows the pattern set by Lakṣmaṇa’s other quiet laments over his brother’s unhinged state.</w:t>
      </w:r>
    </w:p>
    <w:p w:rsidR="00000000" w:rsidDel="00000000" w:rsidP="00000000" w:rsidRDefault="00000000" w:rsidRPr="00000000" w14:paraId="0000000B">
      <w:pPr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On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 Page 14, Line 22,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 the Hamburg manuscript includes the helpful stage direction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upasṛtya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 (“approaching”) not present in the printed edition.</w:t>
      </w:r>
    </w:p>
    <w:p w:rsidR="00000000" w:rsidDel="00000000" w:rsidP="00000000" w:rsidRDefault="00000000" w:rsidRPr="00000000" w14:paraId="0000000D">
      <w:pPr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On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Page 15, Line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5, the Hamburg manuscript replaces the original reading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sarve — tatha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ityupaviśanti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) with the simple stage direction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tatheti sarve upaviśanti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 (“They all agree and take a seat.”), eliminating the strangely univocal piece of dialogue found in the printed edition.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ro Devanagari Sanskrit" w:cs="Tiro Devanagari Sanskrit" w:eastAsia="Tiro Devanagari Sanskrit" w:hAnsi="Tiro Devanagari Sanskrit"/>
          <w:sz w:val="24"/>
          <w:szCs w:val="24"/>
        </w:rPr>
      </w:pP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On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Page 15, Line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 23, the Hamburg manuscript reads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tasmin vane cāsyāḥ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pratyāsattir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 āsīt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 (“From then on, she remained connected to this forest”) which is slightly preferable to original reading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i w:val="1"/>
          <w:iCs w:val="1"/>
          <w:sz w:val="24"/>
          <w:szCs w:val="24"/>
          <w:rtl w:val="0"/>
        </w:rPr>
        <w:t xml:space="preserve">tasmin vane nāsyāḥ pratyāsattir āsīt </w:t>
      </w:r>
      <w:r w:rsidDel="00000000" w:rsidR="00000000" w:rsidRPr="00000000">
        <w:rPr>
          <w:rFonts w:ascii="Tiro Devanagari Sanskrit" w:cs="Tiro Devanagari Sanskrit" w:eastAsia="Tiro Devanagari Sanskrit" w:hAnsi="Tiro Devanagari Sanskrit"/>
          <w:sz w:val="24"/>
          <w:szCs w:val="24"/>
          <w:rtl w:val="0"/>
        </w:rPr>
        <w:t xml:space="preserve">(“But even then, she could not go near that forest”). A third manuscript would be helpful here to provide an improved reading.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ro Devanagari Sanskrit">
    <w:embedRegular w:fontKey="{00000000-0000-0000-0000-000000000000}" r:id="rId1" w:subsetted="0"/>
    <w:embedItalic w:fontKey="{00000000-0000-0000-0000-000000000000}" r:id="rId2" w:subsetted="0"/>
  </w:font>
  <w:font w:name="Castoro">
    <w:embedRegular w:fontKey="{00000000-0000-0000-0000-000000000000}" r:id="rId3" w:subsetted="0"/>
    <w:embe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2">
      <w:pPr>
        <w:spacing w:line="240" w:lineRule="auto"/>
        <w:rPr>
          <w:rFonts w:ascii="Castoro" w:cs="Castoro" w:eastAsia="Castoro" w:hAnsi="Castoro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storo" w:cs="Castoro" w:eastAsia="Castoro" w:hAnsi="Castoro"/>
          <w:sz w:val="20"/>
          <w:szCs w:val="20"/>
          <w:rtl w:val="0"/>
        </w:rPr>
        <w:t xml:space="preserve"> My primary reason for consulting this particular manuscript was one of convenience, as high-quality photographs of it are readily available online through the Universität Hamburg. A cursory search of the National Mission for Manuscripts reveals the existence of seventeen other manuscripts bearing the same title and author, written in a variety of scripts and located in archives across Tamil Nadu, Karnataka, and Uttar Pradesh.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jc w:val="left"/>
      <w:rPr>
        <w:rFonts w:ascii="Castoro" w:cs="Castoro" w:eastAsia="Castoro" w:hAnsi="Castoro"/>
        <w:b w:val="1"/>
        <w:bCs w:val="1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katalogplus.sub.uni-hamburg.de/vufind/Record/1919962719?sid=61962355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roDevanagariSanskrit-regular.ttf"/><Relationship Id="rId2" Type="http://schemas.openxmlformats.org/officeDocument/2006/relationships/font" Target="fonts/TiroDevanagariSanskrit-italic.ttf"/><Relationship Id="rId3" Type="http://schemas.openxmlformats.org/officeDocument/2006/relationships/font" Target="fonts/Castoro-regular.ttf"/><Relationship Id="rId4" Type="http://schemas.openxmlformats.org/officeDocument/2006/relationships/font" Target="fonts/Castor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